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A76C88" w:rsidRPr="00A76C88" w14:paraId="4C7FF572" w14:textId="77777777" w:rsidTr="00A76C8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FC62EF9" w14:textId="77777777" w:rsidR="00A76C88" w:rsidRPr="00A76C88" w:rsidRDefault="00A76C88" w:rsidP="00A76C88">
            <w:r w:rsidRPr="00A76C88">
              <w:t>27 Şubat 2025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104D775" w14:textId="77777777" w:rsidR="00A76C88" w:rsidRPr="00A76C88" w:rsidRDefault="00A76C88" w:rsidP="00A76C88">
            <w:r w:rsidRPr="00A76C88">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1CA648C" w14:textId="77777777" w:rsidR="00A76C88" w:rsidRPr="00A76C88" w:rsidRDefault="00A76C88" w:rsidP="00A76C88">
            <w:pPr>
              <w:jc w:val="right"/>
            </w:pPr>
            <w:proofErr w:type="gramStart"/>
            <w:r w:rsidRPr="00A76C88">
              <w:t>Sayı :</w:t>
            </w:r>
            <w:proofErr w:type="gramEnd"/>
            <w:r w:rsidRPr="00A76C88">
              <w:t xml:space="preserve"> 32826</w:t>
            </w:r>
          </w:p>
        </w:tc>
      </w:tr>
      <w:tr w:rsidR="00A76C88" w:rsidRPr="00A76C88" w14:paraId="3CEAD235" w14:textId="77777777" w:rsidTr="00A76C88">
        <w:trPr>
          <w:trHeight w:val="480"/>
        </w:trPr>
        <w:tc>
          <w:tcPr>
            <w:tcW w:w="8789" w:type="dxa"/>
            <w:gridSpan w:val="3"/>
            <w:tcMar>
              <w:top w:w="0" w:type="dxa"/>
              <w:left w:w="108" w:type="dxa"/>
              <w:bottom w:w="0" w:type="dxa"/>
              <w:right w:w="108" w:type="dxa"/>
            </w:tcMar>
            <w:vAlign w:val="center"/>
            <w:hideMark/>
          </w:tcPr>
          <w:p w14:paraId="63F80529" w14:textId="77777777" w:rsidR="00A76C88" w:rsidRPr="00A76C88" w:rsidRDefault="00A76C88" w:rsidP="00A76C88">
            <w:pPr>
              <w:jc w:val="center"/>
            </w:pPr>
            <w:r w:rsidRPr="00A76C88">
              <w:rPr>
                <w:b/>
                <w:bCs/>
              </w:rPr>
              <w:t>TEBLİĞ</w:t>
            </w:r>
          </w:p>
        </w:tc>
      </w:tr>
      <w:tr w:rsidR="00A76C88" w:rsidRPr="00A76C88" w14:paraId="7880EBBE" w14:textId="77777777" w:rsidTr="00A76C88">
        <w:trPr>
          <w:trHeight w:val="480"/>
        </w:trPr>
        <w:tc>
          <w:tcPr>
            <w:tcW w:w="8789" w:type="dxa"/>
            <w:gridSpan w:val="3"/>
            <w:tcMar>
              <w:top w:w="0" w:type="dxa"/>
              <w:left w:w="108" w:type="dxa"/>
              <w:bottom w:w="0" w:type="dxa"/>
              <w:right w:w="108" w:type="dxa"/>
            </w:tcMar>
            <w:vAlign w:val="center"/>
            <w:hideMark/>
          </w:tcPr>
          <w:p w14:paraId="178F0CB4" w14:textId="77777777" w:rsidR="00A76C88" w:rsidRPr="00A76C88" w:rsidRDefault="00A76C88" w:rsidP="00A76C88">
            <w:pPr>
              <w:jc w:val="both"/>
              <w:rPr>
                <w:u w:val="single"/>
              </w:rPr>
            </w:pPr>
            <w:r w:rsidRPr="00A76C88">
              <w:rPr>
                <w:u w:val="single"/>
              </w:rPr>
              <w:t>Hazine ve Maliye Bakanlığı (Gelir İdaresi Başkanlığı)’</w:t>
            </w:r>
            <w:proofErr w:type="spellStart"/>
            <w:r w:rsidRPr="00A76C88">
              <w:rPr>
                <w:u w:val="single"/>
              </w:rPr>
              <w:t>ndan</w:t>
            </w:r>
            <w:proofErr w:type="spellEnd"/>
            <w:r w:rsidRPr="00A76C88">
              <w:rPr>
                <w:u w:val="single"/>
              </w:rPr>
              <w:t>:</w:t>
            </w:r>
          </w:p>
          <w:p w14:paraId="65E719E0" w14:textId="77777777" w:rsidR="00A76C88" w:rsidRPr="00A76C88" w:rsidRDefault="00A76C88" w:rsidP="00A76C88">
            <w:pPr>
              <w:jc w:val="center"/>
              <w:rPr>
                <w:b/>
                <w:bCs/>
              </w:rPr>
            </w:pPr>
            <w:r w:rsidRPr="00A76C88">
              <w:rPr>
                <w:b/>
                <w:bCs/>
              </w:rPr>
              <w:t>KATMA DEĞER VERGİSİ GENEL UYGULAMA TEBLİĞİNDE</w:t>
            </w:r>
          </w:p>
          <w:p w14:paraId="6DD880F6" w14:textId="77777777" w:rsidR="00A76C88" w:rsidRPr="00A76C88" w:rsidRDefault="00A76C88" w:rsidP="00A76C88">
            <w:pPr>
              <w:jc w:val="center"/>
              <w:rPr>
                <w:b/>
                <w:bCs/>
              </w:rPr>
            </w:pPr>
            <w:r w:rsidRPr="00A76C88">
              <w:rPr>
                <w:b/>
                <w:bCs/>
              </w:rPr>
              <w:t>DEĞİŞİKLİK YAPILMASINA DAİR TEBLİĞ</w:t>
            </w:r>
          </w:p>
          <w:p w14:paraId="25D84E5C" w14:textId="77777777" w:rsidR="00A76C88" w:rsidRPr="00A76C88" w:rsidRDefault="00A76C88" w:rsidP="00A76C88">
            <w:pPr>
              <w:jc w:val="center"/>
              <w:rPr>
                <w:b/>
                <w:bCs/>
              </w:rPr>
            </w:pPr>
            <w:r w:rsidRPr="00A76C88">
              <w:rPr>
                <w:b/>
                <w:bCs/>
              </w:rPr>
              <w:t>(SERİ NO: 54)</w:t>
            </w:r>
          </w:p>
          <w:p w14:paraId="01E2D6B5" w14:textId="7EE246C3" w:rsidR="00A76C88" w:rsidRPr="00A76C88" w:rsidRDefault="00A76C88" w:rsidP="00A76C88">
            <w:pPr>
              <w:jc w:val="both"/>
            </w:pPr>
            <w:r w:rsidRPr="00A76C88">
              <w:rPr>
                <w:b/>
                <w:bCs/>
              </w:rPr>
              <w:t> MADDE 1- </w:t>
            </w:r>
            <w:r w:rsidRPr="00A76C88">
              <w:t>26/4/2014 tarihli ve 28983 sayılı Resmî Gazete’de yayımlanan Katma Değer Vergisi Genel Uygulama Tebliğinin (II/F-4.26.) bölümünün başlığı “Sosyal İçerik Üreticiliği, İnternet ve Benzeri Elektronik Ortamlar Üzerinden Sunulan Hizmetler ile Mobil Cihazlar İçin Uygulama Geliştiriciliği İstisnası” şeklinde değiştirilmiş, aynı bölümün mevcut ikinci ve üçüncü paragrafları yürürlükten kaldırılmış ve aynı bölüme mevcut birinci paragraftan sonra gelmek üzere aşağıdaki paragraflar eklenmiştir.</w:t>
            </w:r>
          </w:p>
          <w:p w14:paraId="76538670" w14:textId="77777777" w:rsidR="00A76C88" w:rsidRPr="00A76C88" w:rsidRDefault="00A76C88" w:rsidP="00A76C88">
            <w:pPr>
              <w:jc w:val="both"/>
            </w:pPr>
            <w:r w:rsidRPr="00A76C88">
              <w:t>“Söz konusu istisna, 1/1/2022 tarihinden itibaren sosyal ağ sağlayıcıları üzerinden metin, görüntü, ses, video gibi içerikler paylaşan sosyal içerik üreticisi gerçek kişiler ile akıllı telefon veya tablet gibi mobil cihazlar için uygulama geliştiren gerçek kişilerin bu faaliyetlerinden elde ettikleri kazançlara konu teslim ve hizmetlere uygulanmaktadır.</w:t>
            </w:r>
          </w:p>
          <w:p w14:paraId="7D5968BA" w14:textId="77777777" w:rsidR="00A76C88" w:rsidRPr="00A76C88" w:rsidRDefault="00A76C88" w:rsidP="00A76C88">
            <w:pPr>
              <w:jc w:val="both"/>
            </w:pPr>
            <w:r w:rsidRPr="00A76C88">
              <w:t>Bununla birlikte, 1/1/2024 tarihinden itibaren internet ve benzeri elektronik ortamlar üzerinden metin, görüntü, ses, video gibi içerikler paylaşan sosyal içerik üreticisi gerçek kişilerin bu faaliyetlerinden elde ettikleri kazançlar ile internet ve benzeri elektronik ortamlar üzerinden verilen bireysel kurs, eğitim, veri işleme ve geliştirme, ürün tanıtımı gibi hizmetlerden kazanç sağlayan gerçek kişilerin bu faaliyetlerinden elde ettikleri kazançlara konu teslim ve hizmetlere de söz konusu istisna uygulanacaktır.</w:t>
            </w:r>
          </w:p>
          <w:p w14:paraId="6A13AA05" w14:textId="77777777" w:rsidR="00A76C88" w:rsidRPr="00A76C88" w:rsidRDefault="00A76C88" w:rsidP="00A76C88">
            <w:pPr>
              <w:jc w:val="both"/>
            </w:pPr>
            <w:r w:rsidRPr="00A76C88">
              <w:t xml:space="preserve">Bu kapsamda, </w:t>
            </w:r>
            <w:proofErr w:type="gramStart"/>
            <w:r w:rsidRPr="00A76C88">
              <w:t>Gelir Vergisi Kanununun</w:t>
            </w:r>
            <w:proofErr w:type="gramEnd"/>
            <w:r w:rsidRPr="00A76C88">
              <w:t xml:space="preserve"> mükerrer 20/B maddesi kapsamında vergilendirilen kazançlara konu teslim ve hizmetler üzerinden KDV hesaplanmaz.”</w:t>
            </w:r>
          </w:p>
          <w:p w14:paraId="0F6E64CD" w14:textId="77777777" w:rsidR="00A76C88" w:rsidRPr="00A76C88" w:rsidRDefault="00A76C88" w:rsidP="00A76C88">
            <w:pPr>
              <w:jc w:val="both"/>
            </w:pPr>
            <w:r w:rsidRPr="00A76C88">
              <w:rPr>
                <w:b/>
                <w:bCs/>
              </w:rPr>
              <w:t>MADDE 2- </w:t>
            </w:r>
            <w:r w:rsidRPr="00A76C88">
              <w:t>Aynı Tebliğin (III/B-3.) bölümünün ikinci, üçüncü ve dördüncü paragrafları yürürlükten kaldırılmıştır.</w:t>
            </w:r>
          </w:p>
          <w:p w14:paraId="191DBDEE" w14:textId="77777777" w:rsidR="00A76C88" w:rsidRPr="00A76C88" w:rsidRDefault="00A76C88" w:rsidP="00A76C88">
            <w:pPr>
              <w:jc w:val="both"/>
            </w:pPr>
            <w:r w:rsidRPr="00A76C88">
              <w:rPr>
                <w:b/>
                <w:bCs/>
              </w:rPr>
              <w:t>MADDE 3- </w:t>
            </w:r>
            <w:r w:rsidRPr="00A76C88">
              <w:t xml:space="preserve">Aynı Tebliğin (III/B-3.2.5.) bölümü başlığı </w:t>
            </w:r>
            <w:proofErr w:type="gramStart"/>
            <w:r w:rsidRPr="00A76C88">
              <w:t>ile birlikte</w:t>
            </w:r>
            <w:proofErr w:type="gramEnd"/>
            <w:r w:rsidRPr="00A76C88">
              <w:t xml:space="preserve"> yürürlükten kaldırılmıştır.</w:t>
            </w:r>
          </w:p>
          <w:p w14:paraId="250C0271" w14:textId="77777777" w:rsidR="00A76C88" w:rsidRPr="00A76C88" w:rsidRDefault="00A76C88" w:rsidP="00A76C88">
            <w:pPr>
              <w:jc w:val="both"/>
            </w:pPr>
            <w:r w:rsidRPr="00A76C88">
              <w:rPr>
                <w:b/>
                <w:bCs/>
              </w:rPr>
              <w:t>MADDE 4- </w:t>
            </w:r>
            <w:r w:rsidRPr="00A76C88">
              <w:t>Aynı Tebliğin;</w:t>
            </w:r>
          </w:p>
          <w:p w14:paraId="58C67E9E" w14:textId="77777777" w:rsidR="00A76C88" w:rsidRPr="00A76C88" w:rsidRDefault="00A76C88" w:rsidP="00A76C88">
            <w:pPr>
              <w:jc w:val="both"/>
            </w:pPr>
            <w:r w:rsidRPr="00A76C88">
              <w:t>a) (IV/D-7.) bölümünün ikinci paragrafında yer alan “(IV/E/3.3)” ibaresi “(IV/A2-3.3.)” şeklinde,</w:t>
            </w:r>
          </w:p>
          <w:p w14:paraId="51F45DDF" w14:textId="77777777" w:rsidR="00A76C88" w:rsidRPr="00A76C88" w:rsidRDefault="00A76C88" w:rsidP="00A76C88">
            <w:pPr>
              <w:jc w:val="both"/>
            </w:pPr>
            <w:r w:rsidRPr="00A76C88">
              <w:lastRenderedPageBreak/>
              <w:t>b) (VI/B-2.1.1.) bölümünün ilk paragrafında yer alan “(IV/E-3.2)” ibaresi “(IV/A2-3.2.)” şeklinde,</w:t>
            </w:r>
          </w:p>
          <w:p w14:paraId="26C21220" w14:textId="77777777" w:rsidR="00A76C88" w:rsidRPr="00A76C88" w:rsidRDefault="00A76C88" w:rsidP="00A76C88">
            <w:pPr>
              <w:jc w:val="both"/>
            </w:pPr>
            <w:proofErr w:type="gramStart"/>
            <w:r w:rsidRPr="00A76C88">
              <w:t>değiştirilmiştir</w:t>
            </w:r>
            <w:proofErr w:type="gramEnd"/>
            <w:r w:rsidRPr="00A76C88">
              <w:t>.</w:t>
            </w:r>
          </w:p>
          <w:p w14:paraId="7E3E0E7E" w14:textId="77777777" w:rsidR="00A76C88" w:rsidRPr="00A76C88" w:rsidRDefault="00A76C88" w:rsidP="00A76C88">
            <w:pPr>
              <w:jc w:val="both"/>
            </w:pPr>
            <w:r w:rsidRPr="00A76C88">
              <w:rPr>
                <w:b/>
                <w:bCs/>
              </w:rPr>
              <w:t>MADDE 5- </w:t>
            </w:r>
            <w:r w:rsidRPr="00A76C88">
              <w:t>Bu Tebliğin;</w:t>
            </w:r>
          </w:p>
          <w:p w14:paraId="2DBEF2CF" w14:textId="77777777" w:rsidR="00A76C88" w:rsidRPr="00A76C88" w:rsidRDefault="00A76C88" w:rsidP="00A76C88">
            <w:pPr>
              <w:jc w:val="both"/>
            </w:pPr>
            <w:r w:rsidRPr="00A76C88">
              <w:t xml:space="preserve">a) </w:t>
            </w:r>
            <w:proofErr w:type="gramStart"/>
            <w:r w:rsidRPr="00A76C88">
              <w:t>2 nci</w:t>
            </w:r>
            <w:proofErr w:type="gramEnd"/>
            <w:r w:rsidRPr="00A76C88">
              <w:t> ve 3 üncü maddeleri yayımını izleyen ayın başından itibaren yapılan iade talepleri için geçerli olmak üzere yayımı tarihinde,</w:t>
            </w:r>
          </w:p>
          <w:p w14:paraId="1175AC92" w14:textId="77777777" w:rsidR="00A76C88" w:rsidRPr="00A76C88" w:rsidRDefault="00A76C88" w:rsidP="00A76C88">
            <w:pPr>
              <w:jc w:val="both"/>
            </w:pPr>
            <w:r w:rsidRPr="00A76C88">
              <w:t>b) Diğer maddeleri yayımı tarihinde,</w:t>
            </w:r>
          </w:p>
          <w:p w14:paraId="6A6A0772" w14:textId="77777777" w:rsidR="00A76C88" w:rsidRPr="00A76C88" w:rsidRDefault="00A76C88" w:rsidP="00A76C88">
            <w:pPr>
              <w:jc w:val="both"/>
            </w:pPr>
            <w:proofErr w:type="gramStart"/>
            <w:r w:rsidRPr="00A76C88">
              <w:t>yürürlüğe</w:t>
            </w:r>
            <w:proofErr w:type="gramEnd"/>
            <w:r w:rsidRPr="00A76C88">
              <w:t> girer.</w:t>
            </w:r>
          </w:p>
          <w:p w14:paraId="00AC9947" w14:textId="77777777" w:rsidR="00A76C88" w:rsidRPr="00A76C88" w:rsidRDefault="00A76C88" w:rsidP="00A76C88">
            <w:pPr>
              <w:jc w:val="both"/>
            </w:pPr>
            <w:r w:rsidRPr="00A76C88">
              <w:rPr>
                <w:b/>
                <w:bCs/>
              </w:rPr>
              <w:t>MADDE 6- </w:t>
            </w:r>
            <w:r w:rsidRPr="00A76C88">
              <w:t>Bu Tebliğ hükümlerini Hazine ve Maliye Bakanı yürütür.</w:t>
            </w:r>
          </w:p>
        </w:tc>
      </w:tr>
    </w:tbl>
    <w:p w14:paraId="6FC15428" w14:textId="77777777" w:rsidR="00F40434" w:rsidRDefault="00F40434" w:rsidP="00A76C88">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88"/>
    <w:rsid w:val="000D26F2"/>
    <w:rsid w:val="00143089"/>
    <w:rsid w:val="005F324D"/>
    <w:rsid w:val="0068156B"/>
    <w:rsid w:val="00A76C88"/>
    <w:rsid w:val="00EA7A5C"/>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BEE3"/>
  <w15:chartTrackingRefBased/>
  <w15:docId w15:val="{A8C71339-20AA-48DB-8AE7-7661E3E0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76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76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76C8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76C8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76C8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76C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6C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6C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6C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6C8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76C8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76C8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76C8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76C8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76C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6C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6C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6C88"/>
    <w:rPr>
      <w:rFonts w:eastAsiaTheme="majorEastAsia" w:cstheme="majorBidi"/>
      <w:color w:val="272727" w:themeColor="text1" w:themeTint="D8"/>
    </w:rPr>
  </w:style>
  <w:style w:type="paragraph" w:styleId="KonuBal">
    <w:name w:val="Title"/>
    <w:basedOn w:val="Normal"/>
    <w:next w:val="Normal"/>
    <w:link w:val="KonuBalChar"/>
    <w:uiPriority w:val="10"/>
    <w:qFormat/>
    <w:rsid w:val="00A76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6C8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6C8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6C8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6C8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6C88"/>
    <w:rPr>
      <w:i/>
      <w:iCs/>
      <w:color w:val="404040" w:themeColor="text1" w:themeTint="BF"/>
    </w:rPr>
  </w:style>
  <w:style w:type="paragraph" w:styleId="ListeParagraf">
    <w:name w:val="List Paragraph"/>
    <w:basedOn w:val="Normal"/>
    <w:uiPriority w:val="34"/>
    <w:qFormat/>
    <w:rsid w:val="00A76C88"/>
    <w:pPr>
      <w:ind w:left="720"/>
      <w:contextualSpacing/>
    </w:pPr>
  </w:style>
  <w:style w:type="character" w:styleId="GlVurgulama">
    <w:name w:val="Intense Emphasis"/>
    <w:basedOn w:val="VarsaylanParagrafYazTipi"/>
    <w:uiPriority w:val="21"/>
    <w:qFormat/>
    <w:rsid w:val="00A76C88"/>
    <w:rPr>
      <w:i/>
      <w:iCs/>
      <w:color w:val="0F4761" w:themeColor="accent1" w:themeShade="BF"/>
    </w:rPr>
  </w:style>
  <w:style w:type="paragraph" w:styleId="GlAlnt">
    <w:name w:val="Intense Quote"/>
    <w:basedOn w:val="Normal"/>
    <w:next w:val="Normal"/>
    <w:link w:val="GlAlntChar"/>
    <w:uiPriority w:val="30"/>
    <w:qFormat/>
    <w:rsid w:val="00A76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76C88"/>
    <w:rPr>
      <w:i/>
      <w:iCs/>
      <w:color w:val="0F4761" w:themeColor="accent1" w:themeShade="BF"/>
    </w:rPr>
  </w:style>
  <w:style w:type="character" w:styleId="GlBavuru">
    <w:name w:val="Intense Reference"/>
    <w:basedOn w:val="VarsaylanParagrafYazTipi"/>
    <w:uiPriority w:val="32"/>
    <w:qFormat/>
    <w:rsid w:val="00A76C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815065">
      <w:bodyDiv w:val="1"/>
      <w:marLeft w:val="0"/>
      <w:marRight w:val="0"/>
      <w:marTop w:val="0"/>
      <w:marBottom w:val="0"/>
      <w:divBdr>
        <w:top w:val="none" w:sz="0" w:space="0" w:color="auto"/>
        <w:left w:val="none" w:sz="0" w:space="0" w:color="auto"/>
        <w:bottom w:val="none" w:sz="0" w:space="0" w:color="auto"/>
        <w:right w:val="none" w:sz="0" w:space="0" w:color="auto"/>
      </w:divBdr>
    </w:div>
    <w:div w:id="16167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4</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2025-02-27T11:48:00Z</dcterms:created>
  <dcterms:modified xsi:type="dcterms:W3CDTF">2025-02-27T11:48:00Z</dcterms:modified>
</cp:coreProperties>
</file>